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after="0" w:lineRule="auto"/>
        <w:rPr/>
      </w:pPr>
      <w:r w:rsidDel="00000000" w:rsidR="00000000" w:rsidRPr="00000000">
        <w:rPr>
          <w:rtl w:val="0"/>
        </w:rPr>
      </w:r>
    </w:p>
    <w:p w:rsidR="00000000" w:rsidDel="00000000" w:rsidP="00000000" w:rsidRDefault="00000000" w:rsidRPr="00000000" w14:paraId="00000002">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12 (Supply Chain Visibility)</w:t>
      </w:r>
    </w:p>
    <w:p w:rsidR="00000000" w:rsidDel="00000000" w:rsidP="00000000" w:rsidRDefault="00000000" w:rsidRPr="00000000" w14:paraId="00000003">
      <w:pPr>
        <w:numPr>
          <w:ilvl w:val="0"/>
          <w:numId w:val="1"/>
        </w:numPr>
        <w:pBdr>
          <w:top w:space="0" w:sz="0" w:val="nil"/>
          <w:left w:space="0" w:sz="0" w:val="nil"/>
          <w:bottom w:space="0" w:sz="0" w:val="nil"/>
          <w:right w:space="0" w:sz="0" w:val="nil"/>
          <w:between w:space="0" w:sz="0" w:val="nil"/>
        </w:pBdr>
        <w:spacing w:after="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 </w:t>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0" w:lineRule="auto"/>
        <w:ind w:left="720" w:firstLine="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ind w:left="284"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8198.0" w:type="dxa"/>
        <w:jc w:val="left"/>
        <w:tblInd w:w="52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cantSplit w:val="0"/>
          <w:trHeight w:val="20" w:hRule="atLeast"/>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709"/>
                <w:tab w:val="left" w:leader="none" w:pos="1134"/>
              </w:tabs>
              <w:spacing w:after="120" w:before="12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"Contracts Finder"</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709"/>
                <w:tab w:val="left" w:leader="none" w:pos="1134"/>
              </w:tabs>
              <w:spacing w:after="120" w:before="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Government’s publishing portal for public sector procurement opportunities; and</w:t>
            </w:r>
          </w:p>
        </w:tc>
      </w:tr>
      <w:tr>
        <w:trPr>
          <w:cantSplit w:val="0"/>
          <w:trHeight w:val="20" w:hRule="atLeast"/>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709"/>
                <w:tab w:val="left" w:leader="none" w:pos="1134"/>
              </w:tabs>
              <w:spacing w:after="120" w:before="12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“Supply Chain Information Report Template”</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709"/>
                <w:tab w:val="left" w:leader="none" w:pos="1134"/>
              </w:tabs>
              <w:spacing w:after="120" w:before="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document at Annex 1 of this Schedule 12.</w:t>
            </w:r>
          </w:p>
        </w:tc>
      </w:tr>
      <w:tr>
        <w:trPr>
          <w:cantSplit w:val="0"/>
          <w:trHeight w:val="20" w:hRule="atLeast"/>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709"/>
                <w:tab w:val="left" w:leader="none" w:pos="1134"/>
              </w:tabs>
              <w:spacing w:after="120" w:before="120" w:lineRule="auto"/>
              <w:jc w:val="both"/>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709"/>
                <w:tab w:val="left" w:leader="none" w:pos="1134"/>
              </w:tabs>
              <w:spacing w:after="120" w:before="120" w:lineRule="auto"/>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0C">
      <w:pPr>
        <w:numPr>
          <w:ilvl w:val="0"/>
          <w:numId w:val="1"/>
        </w:numPr>
        <w:pBdr>
          <w:top w:space="0" w:sz="0" w:val="nil"/>
          <w:left w:space="0" w:sz="0" w:val="nil"/>
          <w:bottom w:space="0" w:sz="0" w:val="nil"/>
          <w:right w:space="0" w:sz="0" w:val="nil"/>
          <w:between w:space="0" w:sz="0" w:val="nil"/>
        </w:pBdr>
        <w:spacing w:after="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Visibility of Sub-Contract Opportunities in the Supply Chain </w:t>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0" w:lineRule="auto"/>
        <w:ind w:left="720" w:firstLine="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0E">
      <w:pPr>
        <w:numPr>
          <w:ilvl w:val="1"/>
          <w:numId w:val="1"/>
        </w:numPr>
        <w:pBdr>
          <w:top w:space="0" w:sz="0" w:val="nil"/>
          <w:left w:space="0" w:sz="0" w:val="nil"/>
          <w:bottom w:space="0" w:sz="0" w:val="nil"/>
          <w:right w:space="0" w:sz="0" w:val="nil"/>
          <w:between w:space="0" w:sz="0" w:val="nil"/>
        </w:pBdr>
        <w:spacing w:after="0" w:lineRule="auto"/>
        <w:ind w:left="993" w:hanging="63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any specific requirements of the Buyer (as set out in the Order Form), the Supplier shall:</w:t>
      </w:r>
    </w:p>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0">
      <w:pPr>
        <w:numPr>
          <w:ilvl w:val="2"/>
          <w:numId w:val="1"/>
        </w:numPr>
        <w:pBdr>
          <w:top w:space="0" w:sz="0" w:val="nil"/>
          <w:left w:space="0" w:sz="0" w:val="nil"/>
          <w:bottom w:space="0" w:sz="0" w:val="nil"/>
          <w:right w:space="0" w:sz="0" w:val="nil"/>
          <w:between w:space="0" w:sz="0" w:val="nil"/>
        </w:pBdr>
        <w:spacing w:after="0" w:lineRule="auto"/>
        <w:ind w:left="1701" w:hanging="70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Paragraphs 2.3 and 2.4, advertise on Contracts Finder all Sub-Contract opportunities arising from or in connection with the provision of the Deliverables above a minimum threshold of £25,000 that arise during the Contract Period;</w:t>
      </w:r>
    </w:p>
    <w:p w:rsidR="00000000" w:rsidDel="00000000" w:rsidP="00000000" w:rsidRDefault="00000000" w:rsidRPr="00000000" w14:paraId="00000011">
      <w:pPr>
        <w:numPr>
          <w:ilvl w:val="2"/>
          <w:numId w:val="1"/>
        </w:numPr>
        <w:pBdr>
          <w:top w:space="0" w:sz="0" w:val="nil"/>
          <w:left w:space="0" w:sz="0" w:val="nil"/>
          <w:bottom w:space="0" w:sz="0" w:val="nil"/>
          <w:right w:space="0" w:sz="0" w:val="nil"/>
          <w:between w:space="0" w:sz="0" w:val="nil"/>
        </w:pBdr>
        <w:spacing w:after="0" w:lineRule="auto"/>
        <w:ind w:left="1701" w:hanging="70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within 90 days of awarding a Sub-Contract to a Subcontractor, update the notice on Contract Finder with details of the successful Subcontractor; </w:t>
      </w:r>
    </w:p>
    <w:p w:rsidR="00000000" w:rsidDel="00000000" w:rsidP="00000000" w:rsidRDefault="00000000" w:rsidRPr="00000000" w14:paraId="00000012">
      <w:pPr>
        <w:numPr>
          <w:ilvl w:val="2"/>
          <w:numId w:val="1"/>
        </w:numPr>
        <w:pBdr>
          <w:top w:space="0" w:sz="0" w:val="nil"/>
          <w:left w:space="0" w:sz="0" w:val="nil"/>
          <w:bottom w:space="0" w:sz="0" w:val="nil"/>
          <w:right w:space="0" w:sz="0" w:val="nil"/>
          <w:between w:space="0" w:sz="0" w:val="nil"/>
        </w:pBdr>
        <w:spacing w:after="0" w:lineRule="auto"/>
        <w:ind w:left="1701" w:hanging="70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monitor the number, type and value of the Sub-Contract opportunities placed on Contracts Finder advertised and awarded in its supply chain during the Contract Period; </w:t>
      </w:r>
    </w:p>
    <w:p w:rsidR="00000000" w:rsidDel="00000000" w:rsidP="00000000" w:rsidRDefault="00000000" w:rsidRPr="00000000" w14:paraId="00000013">
      <w:pPr>
        <w:numPr>
          <w:ilvl w:val="2"/>
          <w:numId w:val="1"/>
        </w:numPr>
        <w:pBdr>
          <w:top w:space="0" w:sz="0" w:val="nil"/>
          <w:left w:space="0" w:sz="0" w:val="nil"/>
          <w:bottom w:space="0" w:sz="0" w:val="nil"/>
          <w:right w:space="0" w:sz="0" w:val="nil"/>
          <w:between w:space="0" w:sz="0" w:val="nil"/>
        </w:pBdr>
        <w:spacing w:after="0" w:lineRule="auto"/>
        <w:ind w:left="1701" w:hanging="70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reports on the information at Paragraph 2.1.3 to the Relevant Authority in the format and frequency as reasonably specified by the Relevant Authority; and </w:t>
      </w:r>
    </w:p>
    <w:p w:rsidR="00000000" w:rsidDel="00000000" w:rsidP="00000000" w:rsidRDefault="00000000" w:rsidRPr="00000000" w14:paraId="00000014">
      <w:pPr>
        <w:numPr>
          <w:ilvl w:val="2"/>
          <w:numId w:val="1"/>
        </w:numPr>
        <w:pBdr>
          <w:top w:space="0" w:sz="0" w:val="nil"/>
          <w:left w:space="0" w:sz="0" w:val="nil"/>
          <w:bottom w:space="0" w:sz="0" w:val="nil"/>
          <w:right w:space="0" w:sz="0" w:val="nil"/>
          <w:between w:space="0" w:sz="0" w:val="nil"/>
        </w:pBdr>
        <w:spacing w:after="0" w:lineRule="auto"/>
        <w:ind w:left="1701" w:hanging="70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promote Contracts Finder to its suppliers and encourage those organisations to register on Contracts Finder. </w:t>
      </w:r>
    </w:p>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0" w:lineRule="auto"/>
        <w:ind w:left="108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6">
      <w:pPr>
        <w:numPr>
          <w:ilvl w:val="1"/>
          <w:numId w:val="1"/>
        </w:numPr>
        <w:pBdr>
          <w:top w:space="0" w:sz="0" w:val="nil"/>
          <w:left w:space="0" w:sz="0" w:val="nil"/>
          <w:bottom w:space="0" w:sz="0" w:val="nil"/>
          <w:right w:space="0" w:sz="0" w:val="nil"/>
          <w:between w:space="0" w:sz="0" w:val="nil"/>
        </w:pBdr>
        <w:spacing w:after="0" w:lineRule="auto"/>
        <w:ind w:left="993" w:hanging="63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advert referred to at Paragraph 2.1.1 of this Schedule 12 shall provide a full and detailed description of the Sub-Contract opportunity with each of the mandatory fields being completed on Contracts Finder by the Supplier. </w:t>
      </w:r>
    </w:p>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0" w:lineRule="auto"/>
        <w:ind w:left="993" w:hanging="633"/>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8">
      <w:pPr>
        <w:numPr>
          <w:ilvl w:val="1"/>
          <w:numId w:val="1"/>
        </w:numPr>
        <w:pBdr>
          <w:top w:space="0" w:sz="0" w:val="nil"/>
          <w:left w:space="0" w:sz="0" w:val="nil"/>
          <w:bottom w:space="0" w:sz="0" w:val="nil"/>
          <w:right w:space="0" w:sz="0" w:val="nil"/>
          <w:between w:space="0" w:sz="0" w:val="nil"/>
        </w:pBdr>
        <w:spacing w:after="0" w:lineRule="auto"/>
        <w:ind w:left="993" w:hanging="63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obligation on the Supplier set out at Paragraph 2.1 shall only apply in respect of Sub-Contract opportunities arising after the Effective Date.</w:t>
      </w:r>
    </w:p>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0" w:lineRule="auto"/>
        <w:ind w:left="993" w:hanging="633"/>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A">
      <w:pPr>
        <w:numPr>
          <w:ilvl w:val="1"/>
          <w:numId w:val="1"/>
        </w:numPr>
        <w:pBdr>
          <w:top w:space="0" w:sz="0" w:val="nil"/>
          <w:left w:space="0" w:sz="0" w:val="nil"/>
          <w:bottom w:space="0" w:sz="0" w:val="nil"/>
          <w:right w:space="0" w:sz="0" w:val="nil"/>
          <w:between w:space="0" w:sz="0" w:val="nil"/>
        </w:pBdr>
        <w:spacing w:after="0" w:lineRule="auto"/>
        <w:ind w:left="993" w:hanging="63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obligation on the Supplier set out at Paragraph 2.1 may not apply to Sub-Contract opportunities where the services to be provided under the relevant Sub-Contract are to be delivered overseas by in-country partners and/or there are local laws, customs, or security issues that mean Sub-Contracts cannot be advertised (as further described in PPN 01/18), and any specific requirements of the Buyer in this regard shall be set out in the Order Form. </w:t>
      </w:r>
    </w:p>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0" w:lineRule="auto"/>
        <w:ind w:left="993"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C">
      <w:pPr>
        <w:numPr>
          <w:ilvl w:val="1"/>
          <w:numId w:val="1"/>
        </w:numPr>
        <w:pBdr>
          <w:top w:space="0" w:sz="0" w:val="nil"/>
          <w:left w:space="0" w:sz="0" w:val="nil"/>
          <w:bottom w:space="0" w:sz="0" w:val="nil"/>
          <w:right w:space="0" w:sz="0" w:val="nil"/>
          <w:between w:space="0" w:sz="0" w:val="nil"/>
        </w:pBdr>
        <w:spacing w:after="0" w:lineRule="auto"/>
        <w:ind w:left="993" w:hanging="63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Notwithstanding Paragraph 2.1 the Authority may by giving its prior Approval, agree that a Sub-Contract opportunity is not required to be advertised by the Supplier on Contracts Finder.</w:t>
      </w:r>
    </w:p>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E">
      <w:pPr>
        <w:numPr>
          <w:ilvl w:val="0"/>
          <w:numId w:val="1"/>
        </w:numPr>
        <w:pBdr>
          <w:top w:space="0" w:sz="0" w:val="nil"/>
          <w:left w:space="0" w:sz="0" w:val="nil"/>
          <w:bottom w:space="0" w:sz="0" w:val="nil"/>
          <w:right w:space="0" w:sz="0" w:val="nil"/>
          <w:between w:space="0" w:sz="0" w:val="nil"/>
        </w:pBdr>
        <w:spacing w:after="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Visibility of Supply Chain Spend</w:t>
      </w:r>
    </w:p>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0" w:lineRule="auto"/>
        <w:ind w:left="720" w:firstLine="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20">
      <w:pPr>
        <w:numPr>
          <w:ilvl w:val="1"/>
          <w:numId w:val="1"/>
        </w:numPr>
        <w:pBdr>
          <w:top w:space="0" w:sz="0" w:val="nil"/>
          <w:left w:space="0" w:sz="0" w:val="nil"/>
          <w:bottom w:space="0" w:sz="0" w:val="nil"/>
          <w:right w:space="0" w:sz="0" w:val="nil"/>
          <w:between w:space="0" w:sz="0" w:val="nil"/>
        </w:pBdr>
        <w:ind w:left="993" w:hanging="567"/>
        <w:rPr>
          <w:rFonts w:ascii="Arial" w:cs="Arial" w:eastAsia="Arial" w:hAnsi="Arial"/>
          <w:color w:val="000000"/>
          <w:sz w:val="24"/>
          <w:szCs w:val="24"/>
        </w:rPr>
      </w:pPr>
      <w:bookmarkStart w:colFirst="0" w:colLast="0" w:name="_lxufzgeobykq" w:id="0"/>
      <w:bookmarkEnd w:id="0"/>
      <w:r w:rsidDel="00000000" w:rsidR="00000000" w:rsidRPr="00000000">
        <w:rPr>
          <w:rFonts w:ascii="Arial" w:cs="Arial" w:eastAsia="Arial" w:hAnsi="Arial"/>
          <w:color w:val="000000"/>
          <w:sz w:val="24"/>
          <w:szCs w:val="24"/>
          <w:rtl w:val="0"/>
        </w:rPr>
        <w:t xml:space="preserve">In addition to any other management information requirements set out in the Contract, the Supplier agrees and acknowledges that it shall, at no charge, provide timely, full, accurate and complete SME management information reports (the “</w:t>
      </w:r>
      <w:r w:rsidDel="00000000" w:rsidR="00000000" w:rsidRPr="00000000">
        <w:rPr>
          <w:rFonts w:ascii="Arial" w:cs="Arial" w:eastAsia="Arial" w:hAnsi="Arial"/>
          <w:b w:val="1"/>
          <w:color w:val="000000"/>
          <w:sz w:val="24"/>
          <w:szCs w:val="24"/>
          <w:rtl w:val="0"/>
        </w:rPr>
        <w:t xml:space="preserve">SME Management Information Reports</w:t>
      </w:r>
      <w:r w:rsidDel="00000000" w:rsidR="00000000" w:rsidRPr="00000000">
        <w:rPr>
          <w:rFonts w:ascii="Arial" w:cs="Arial" w:eastAsia="Arial" w:hAnsi="Arial"/>
          <w:color w:val="000000"/>
          <w:sz w:val="24"/>
          <w:szCs w:val="24"/>
          <w:rtl w:val="0"/>
        </w:rPr>
        <w:t xml:space="preserve">”) to the Relevant Authority which incorporates the data described in the Supply Chain Information Report Template which is: </w:t>
      </w:r>
    </w:p>
    <w:p w:rsidR="00000000" w:rsidDel="00000000" w:rsidP="00000000" w:rsidRDefault="00000000" w:rsidRPr="00000000" w14:paraId="00000021">
      <w:pPr>
        <w:numPr>
          <w:ilvl w:val="2"/>
          <w:numId w:val="1"/>
        </w:numPr>
        <w:pBdr>
          <w:top w:space="0" w:sz="0" w:val="nil"/>
          <w:left w:space="0" w:sz="0" w:val="nil"/>
          <w:bottom w:space="0" w:sz="0" w:val="nil"/>
          <w:right w:space="0" w:sz="0" w:val="nil"/>
          <w:between w:space="0" w:sz="0" w:val="nil"/>
        </w:pBdr>
        <w:spacing w:after="0" w:lineRule="auto"/>
        <w:ind w:left="1701" w:hanging="70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total contract revenue received directly on the Contract;</w:t>
      </w:r>
    </w:p>
    <w:p w:rsidR="00000000" w:rsidDel="00000000" w:rsidP="00000000" w:rsidRDefault="00000000" w:rsidRPr="00000000" w14:paraId="00000022">
      <w:pPr>
        <w:numPr>
          <w:ilvl w:val="2"/>
          <w:numId w:val="1"/>
        </w:numPr>
        <w:pBdr>
          <w:top w:space="0" w:sz="0" w:val="nil"/>
          <w:left w:space="0" w:sz="0" w:val="nil"/>
          <w:bottom w:space="0" w:sz="0" w:val="nil"/>
          <w:right w:space="0" w:sz="0" w:val="nil"/>
          <w:between w:space="0" w:sz="0" w:val="nil"/>
        </w:pBdr>
        <w:spacing w:after="0" w:lineRule="auto"/>
        <w:ind w:left="1701" w:hanging="70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total value of sub-contracted revenues under the Contract (including revenues for non-SMEs/non-VCSEs); and</w:t>
      </w:r>
    </w:p>
    <w:p w:rsidR="00000000" w:rsidDel="00000000" w:rsidP="00000000" w:rsidRDefault="00000000" w:rsidRPr="00000000" w14:paraId="00000023">
      <w:pPr>
        <w:numPr>
          <w:ilvl w:val="2"/>
          <w:numId w:val="1"/>
        </w:numPr>
        <w:pBdr>
          <w:top w:space="0" w:sz="0" w:val="nil"/>
          <w:left w:space="0" w:sz="0" w:val="nil"/>
          <w:bottom w:space="0" w:sz="0" w:val="nil"/>
          <w:right w:space="0" w:sz="0" w:val="nil"/>
          <w:between w:space="0" w:sz="0" w:val="nil"/>
        </w:pBdr>
        <w:spacing w:after="0" w:lineRule="auto"/>
        <w:ind w:left="1701" w:hanging="70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total value of sub-contracted revenues to SMEs and VCSEs.</w:t>
      </w:r>
    </w:p>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0" w:line="360"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5">
      <w:pPr>
        <w:numPr>
          <w:ilvl w:val="1"/>
          <w:numId w:val="1"/>
        </w:numPr>
        <w:pBdr>
          <w:top w:space="0" w:sz="0" w:val="nil"/>
          <w:left w:space="0" w:sz="0" w:val="nil"/>
          <w:bottom w:space="0" w:sz="0" w:val="nil"/>
          <w:right w:space="0" w:sz="0" w:val="nil"/>
          <w:between w:space="0" w:sz="0" w:val="nil"/>
        </w:pBdr>
        <w:spacing w:after="0" w:lineRule="auto"/>
        <w:ind w:left="993" w:hanging="63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SME Management Information Reports shall be provided by the Supplier in the correct format as required by the Supply Chain Information Report Template and any guidance issued by the Relevant Authority from time to time. The Supplier agrees that it shall use the Supply Chain Information Report Template to provide the information detailed at Paragraphs 3.1.1 – 3.1.3 and acknowledges that the template may be changed from time to time (including the data required and/or format) by the Relevant Authority issuing a replacement version. The Relevant Authority agrees to give at least thirty (30) days’ notice in writing of any such change and shall specify the date from which it must be used.</w:t>
      </w:r>
    </w:p>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7">
      <w:pPr>
        <w:numPr>
          <w:ilvl w:val="1"/>
          <w:numId w:val="1"/>
        </w:numPr>
        <w:pBdr>
          <w:top w:space="0" w:sz="0" w:val="nil"/>
          <w:left w:space="0" w:sz="0" w:val="nil"/>
          <w:bottom w:space="0" w:sz="0" w:val="nil"/>
          <w:right w:space="0" w:sz="0" w:val="nil"/>
          <w:between w:space="0" w:sz="0" w:val="nil"/>
        </w:pBdr>
        <w:ind w:left="993"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further agrees and acknowledges that it may not make any amendment to the Supply Chain Information Report Template without the prior Approval of the Authority.  </w:t>
      </w:r>
    </w:p>
    <w:p w:rsidR="00000000" w:rsidDel="00000000" w:rsidP="00000000" w:rsidRDefault="00000000" w:rsidRPr="00000000" w14:paraId="0000002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9">
      <w:pPr>
        <w:ind w:left="36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1</w:t>
      </w:r>
    </w:p>
    <w:p w:rsidR="00000000" w:rsidDel="00000000" w:rsidP="00000000" w:rsidRDefault="00000000" w:rsidRPr="00000000" w14:paraId="0000002A">
      <w:pPr>
        <w:ind w:left="36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Supply Chain Information Report template</w:t>
      </w:r>
    </w:p>
    <w:p w:rsidR="00000000" w:rsidDel="00000000" w:rsidP="00000000" w:rsidRDefault="00000000" w:rsidRPr="00000000" w14:paraId="0000002B">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rFonts w:ascii="Arial" w:cs="Arial" w:eastAsia="Arial" w:hAnsi="Arial"/>
          <w:sz w:val="24"/>
          <w:szCs w:val="24"/>
        </w:rPr>
      </w:pPr>
      <w:r w:rsidDel="00000000" w:rsidR="00000000" w:rsidRPr="00000000">
        <w:rPr>
          <w:rFonts w:ascii="Arial" w:cs="Arial" w:eastAsia="Arial" w:hAnsi="Arial"/>
          <w:sz w:val="24"/>
          <w:szCs w:val="24"/>
        </w:rPr>
        <w:drawing>
          <wp:inline distB="0" distT="0" distL="114300" distR="114300">
            <wp:extent cx="1484630" cy="724535"/>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484630" cy="724535"/>
                    </a:xfrm>
                    <a:prstGeom prst="rect"/>
                    <a:ln/>
                  </pic:spPr>
                </pic:pic>
              </a:graphicData>
            </a:graphic>
          </wp:inline>
        </w:drawing>
      </w:r>
      <w:r w:rsidDel="00000000" w:rsidR="00000000" w:rsidRPr="00000000">
        <w:rPr>
          <w:rtl w:val="0"/>
        </w:rPr>
      </w:r>
    </w:p>
    <w:p w:rsidR="00000000" w:rsidDel="00000000" w:rsidP="00000000" w:rsidRDefault="00000000" w:rsidRPr="00000000" w14:paraId="0000002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F">
      <w:pPr>
        <w:rPr>
          <w:rFonts w:ascii="Arial" w:cs="Arial" w:eastAsia="Arial" w:hAnsi="Arial"/>
          <w:sz w:val="24"/>
          <w:szCs w:val="24"/>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jc w:val="center"/>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Framework Ref: RM6360</w:t>
    </w:r>
  </w:p>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Project Version: 1.0</w:t>
    </w:r>
  </w:p>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Model Version 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Joint Schedule 12 (Supply Chain Visibility)</w:t>
    </w:r>
  </w:p>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Crown Copyright 20</w:t>
    </w:r>
    <w:r w:rsidDel="00000000" w:rsidR="00000000" w:rsidRPr="00000000">
      <w:rPr>
        <w:rFonts w:ascii="Arial" w:cs="Arial" w:eastAsia="Arial" w:hAnsi="Arial"/>
        <w:rtl w:val="0"/>
      </w:rPr>
      <w:t xml:space="preserve">25</w:t>
    </w:r>
    <w:r w:rsidDel="00000000" w:rsidR="00000000" w:rsidRPr="00000000">
      <w:rPr>
        <w:rtl w:val="0"/>
      </w:rPr>
    </w:r>
  </w:p>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decimal"/>
      <w:lvlText w:val="%1.%2"/>
      <w:lvlJc w:val="left"/>
      <w:pPr>
        <w:ind w:left="720" w:hanging="360"/>
      </w:pPr>
      <w:rPr/>
    </w:lvl>
    <w:lvl w:ilvl="2">
      <w:start w:val="1"/>
      <w:numFmt w:val="decimal"/>
      <w:lvlText w:val="%1.%2.%3"/>
      <w:lvlJc w:val="left"/>
      <w:pPr>
        <w:ind w:left="1080" w:hanging="720"/>
      </w:pPr>
      <w:rPr/>
    </w:lvl>
    <w:lvl w:ilvl="3">
      <w:start w:val="1"/>
      <w:numFmt w:val="decimal"/>
      <w:lvlText w:val="%1.%2.%3.%4"/>
      <w:lvlJc w:val="left"/>
      <w:pPr>
        <w:ind w:left="1440" w:hanging="1080"/>
      </w:pPr>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